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武夷学院茶旅文创设计微专业招生简章</w:t>
      </w:r>
    </w:p>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i w:val="0"/>
          <w:iCs w:val="0"/>
          <w:caps w:val="0"/>
          <w:color w:val="364C7B"/>
          <w:spacing w:val="0"/>
          <w:kern w:val="0"/>
          <w:sz w:val="33"/>
          <w:szCs w:val="33"/>
          <w:shd w:val="clear" w:fill="FFFFFF"/>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一、专业简介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专业以南平当地社会、经济、科技发展的需要，依托武夷山茶产业和旅游产业，以学院开设的茶学、旅游、艺学特色学科为背景，以文化创意产业专业群建设优势为支撑，学生通过学习“茶旅文创设计”专业可以以符合行业标准和就业准入为要求，将设计艺术学、市场营销学、消费心理学等多学科交叉融合，提升自身的设计实战能力，并开展创新、创业、创造，为当地茶旅产业发展提供智力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二、培养目标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专业培养扎实的具备茶旅文创设计基础理论知识和基本技能，具备与本专业相关的人文社科的基本素养，培养学生具有丰富的创造力，严谨的逻辑思维能力和有较强的设计表达能力、动手能力、应用能力、设计实践能力以及美的鉴赏能力，能在设计相关的企事业单位、从事茶旅文创产品的设计开发、宣传、管理工作的应用型创新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三、招生对象及计划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招生对象：面向大二及以上全日制在校学生，原则上每位学生限选1个微专业修读，教学活动安排在第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6</w:t>
      </w:r>
      <w:r>
        <w:rPr>
          <w:rFonts w:hint="eastAsia" w:ascii="仿宋_GB2312" w:hAnsi="仿宋_GB2312" w:eastAsia="仿宋_GB2312" w:cs="仿宋_GB2312"/>
          <w:b w:val="0"/>
          <w:bCs w:val="0"/>
          <w:i w:val="0"/>
          <w:iCs w:val="0"/>
          <w:caps w:val="0"/>
          <w:color w:val="1D1B1C"/>
          <w:spacing w:val="0"/>
          <w:sz w:val="28"/>
          <w:szCs w:val="28"/>
          <w:shd w:val="clear" w:fill="FFFFFF"/>
        </w:rPr>
        <w:t>学期。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rPr>
      </w:pPr>
      <w:r>
        <w:rPr>
          <w:rFonts w:hint="eastAsia" w:ascii="仿宋_GB2312" w:hAnsi="仿宋_GB2312" w:eastAsia="仿宋_GB2312" w:cs="仿宋_GB2312"/>
          <w:b w:val="0"/>
          <w:bCs w:val="0"/>
          <w:i w:val="0"/>
          <w:iCs w:val="0"/>
          <w:caps w:val="0"/>
          <w:color w:val="1D1B1C"/>
          <w:spacing w:val="0"/>
          <w:sz w:val="28"/>
          <w:szCs w:val="28"/>
          <w:shd w:val="clear" w:fill="FFFFFF"/>
        </w:rPr>
        <w:t>招生计划：</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30</w:t>
      </w:r>
      <w:r>
        <w:rPr>
          <w:rFonts w:hint="eastAsia" w:ascii="仿宋_GB2312" w:hAnsi="仿宋_GB2312" w:eastAsia="仿宋_GB2312" w:cs="仿宋_GB2312"/>
          <w:b w:val="0"/>
          <w:bCs w:val="0"/>
          <w:i w:val="0"/>
          <w:iCs w:val="0"/>
          <w:caps w:val="0"/>
          <w:color w:val="1D1B1C"/>
          <w:spacing w:val="0"/>
          <w:sz w:val="28"/>
          <w:szCs w:val="28"/>
          <w:shd w:val="clear" w:fill="FFFFFF"/>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lang w:eastAsia="zh-CN"/>
        </w:rPr>
      </w:pPr>
      <w:r>
        <w:rPr>
          <w:rFonts w:hint="eastAsia" w:ascii="仿宋_GB2312" w:hAnsi="仿宋_GB2312" w:eastAsia="仿宋_GB2312" w:cs="仿宋_GB2312"/>
          <w:b/>
          <w:bCs/>
          <w:i w:val="0"/>
          <w:iCs w:val="0"/>
          <w:caps w:val="0"/>
          <w:color w:val="1D1B1C"/>
          <w:spacing w:val="0"/>
          <w:sz w:val="32"/>
          <w:szCs w:val="32"/>
          <w:shd w:val="clear" w:fill="FFFFFF"/>
        </w:rPr>
        <w:t>四、</w:t>
      </w:r>
      <w:r>
        <w:rPr>
          <w:rFonts w:hint="eastAsia" w:ascii="仿宋_GB2312" w:hAnsi="仿宋_GB2312" w:eastAsia="仿宋_GB2312" w:cs="仿宋_GB2312"/>
          <w:b/>
          <w:bCs/>
          <w:i w:val="0"/>
          <w:iCs w:val="0"/>
          <w:caps w:val="0"/>
          <w:color w:val="1D1B1C"/>
          <w:spacing w:val="0"/>
          <w:sz w:val="32"/>
          <w:szCs w:val="32"/>
          <w:shd w:val="clear" w:fill="FFFFFF"/>
          <w:lang w:eastAsia="zh-CN"/>
        </w:rPr>
        <w:t>修读</w:t>
      </w:r>
      <w:r>
        <w:rPr>
          <w:rFonts w:hint="eastAsia" w:ascii="仿宋_GB2312" w:hAnsi="仿宋_GB2312" w:eastAsia="仿宋_GB2312" w:cs="仿宋_GB2312"/>
          <w:b/>
          <w:bCs/>
          <w:i w:val="0"/>
          <w:iCs w:val="0"/>
          <w:caps w:val="0"/>
          <w:color w:val="1D1B1C"/>
          <w:spacing w:val="0"/>
          <w:sz w:val="32"/>
          <w:szCs w:val="32"/>
          <w:shd w:val="clear" w:fill="FFFFFF"/>
        </w:rPr>
        <w:t>学分及证书</w:t>
      </w:r>
      <w:r>
        <w:rPr>
          <w:rFonts w:hint="eastAsia" w:ascii="仿宋_GB2312" w:hAnsi="仿宋_GB2312" w:eastAsia="仿宋_GB2312" w:cs="仿宋_GB2312"/>
          <w:b/>
          <w:bCs/>
          <w:i w:val="0"/>
          <w:iCs w:val="0"/>
          <w:caps w:val="0"/>
          <w:color w:val="1D1B1C"/>
          <w:spacing w:val="0"/>
          <w:sz w:val="32"/>
          <w:szCs w:val="32"/>
          <w:shd w:val="clear" w:fill="FFFFFF"/>
          <w:lang w:eastAsia="zh-CN"/>
        </w:rPr>
        <w:t>发放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学生在毕业前，修满本培养方案规定的</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16</w:t>
      </w:r>
      <w:r>
        <w:rPr>
          <w:rFonts w:hint="eastAsia" w:ascii="仿宋_GB2312" w:hAnsi="仿宋_GB2312" w:eastAsia="仿宋_GB2312" w:cs="仿宋_GB2312"/>
          <w:b w:val="0"/>
          <w:bCs w:val="0"/>
          <w:i w:val="0"/>
          <w:iCs w:val="0"/>
          <w:caps w:val="0"/>
          <w:color w:val="1D1B1C"/>
          <w:spacing w:val="0"/>
          <w:sz w:val="28"/>
          <w:szCs w:val="28"/>
          <w:shd w:val="clear" w:fill="FFFFFF"/>
          <w:lang w:eastAsia="zh-CN"/>
        </w:rPr>
        <w:t>个学分，成绩合格，</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颁发</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“武夷学院茶旅文创设计微专业结业证书”。</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r>
        <w:rPr>
          <w:rFonts w:hint="eastAsia" w:ascii="仿宋_GB2312" w:hAnsi="仿宋_GB2312" w:eastAsia="仿宋_GB2312" w:cs="仿宋_GB2312"/>
          <w:b/>
          <w:bCs/>
          <w:i w:val="0"/>
          <w:iCs w:val="0"/>
          <w:caps w:val="0"/>
          <w:color w:val="1D1B1C"/>
          <w:spacing w:val="0"/>
          <w:sz w:val="32"/>
          <w:szCs w:val="32"/>
          <w:shd w:val="clear" w:fill="FFFFFF"/>
        </w:rPr>
        <w:t>课程设置与教学安排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单独编班，教学活动安排在第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6</w:t>
      </w:r>
      <w:r>
        <w:rPr>
          <w:rFonts w:hint="eastAsia" w:ascii="仿宋_GB2312" w:hAnsi="仿宋_GB2312" w:eastAsia="仿宋_GB2312" w:cs="仿宋_GB2312"/>
          <w:b w:val="0"/>
          <w:bCs w:val="0"/>
          <w:i w:val="0"/>
          <w:iCs w:val="0"/>
          <w:caps w:val="0"/>
          <w:color w:val="1D1B1C"/>
          <w:spacing w:val="0"/>
          <w:sz w:val="28"/>
          <w:szCs w:val="28"/>
          <w:shd w:val="clear" w:fill="FFFFFF"/>
        </w:rPr>
        <w:t>学期。面授课或实践活动主要安排在周六、周日</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或寒暑假</w:t>
      </w:r>
      <w:r>
        <w:rPr>
          <w:rFonts w:hint="eastAsia" w:ascii="仿宋_GB2312" w:hAnsi="仿宋_GB2312" w:eastAsia="仿宋_GB2312" w:cs="仿宋_GB2312"/>
          <w:b w:val="0"/>
          <w:bCs w:val="0"/>
          <w:i w:val="0"/>
          <w:iCs w:val="0"/>
          <w:caps w:val="0"/>
          <w:color w:val="1D1B1C"/>
          <w:spacing w:val="0"/>
          <w:sz w:val="28"/>
          <w:szCs w:val="28"/>
          <w:shd w:val="clear" w:fill="FFFFFF"/>
        </w:rPr>
        <w:t>开展。</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具体安排如下：</w:t>
      </w:r>
    </w:p>
    <w:tbl>
      <w:tblPr>
        <w:tblStyle w:val="5"/>
        <w:tblW w:w="79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65"/>
        <w:gridCol w:w="2436"/>
        <w:gridCol w:w="538"/>
        <w:gridCol w:w="776"/>
        <w:gridCol w:w="584"/>
        <w:gridCol w:w="599"/>
        <w:gridCol w:w="614"/>
        <w:gridCol w:w="599"/>
        <w:gridCol w:w="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5"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课程编码</w:t>
            </w:r>
          </w:p>
        </w:tc>
        <w:tc>
          <w:tcPr>
            <w:tcW w:w="243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实践学时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考核方式</w:t>
            </w:r>
          </w:p>
        </w:tc>
        <w:tc>
          <w:tcPr>
            <w:tcW w:w="985"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01</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图形图像处理</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02</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武夷山茶旅文化概论</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36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03</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文字与图形创新表现</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04</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茶旅产品策划与传播</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val="en-US" w:eastAsia="zh-CN"/>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05</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趣味茶包装设计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06</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茶旅品牌IP形象设计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07</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文创产品数字化设计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08</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eastAsia" w:ascii="仿宋_GB2312" w:hAnsi="仿宋_GB2312" w:eastAsia="仿宋_GB2312" w:cs="仿宋_GB2312"/>
                <w:b w:val="0"/>
                <w:bCs w:val="0"/>
                <w:color w:val="1D1B1C"/>
                <w:sz w:val="21"/>
                <w:szCs w:val="21"/>
              </w:rPr>
            </w:pPr>
            <w:r>
              <w:rPr>
                <w:rFonts w:hint="eastAsia"/>
                <w:kern w:val="0"/>
                <w:sz w:val="20"/>
                <w:szCs w:val="20"/>
                <w:lang w:val="en-US" w:eastAsia="zh-CN"/>
              </w:rPr>
              <w:t>茶旅文创产品设计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18"/>
                <w:szCs w:val="18"/>
                <w:lang w:val="en-US" w:eastAsia="zh-CN"/>
              </w:rPr>
              <w:t>20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r>
              <w:rPr>
                <w:rFonts w:hint="eastAsia" w:ascii="仿宋_GB2312" w:hAnsi="仿宋_GB2312" w:eastAsia="仿宋_GB2312" w:cs="仿宋_GB2312"/>
                <w:b w:val="0"/>
                <w:bCs w:val="0"/>
                <w:color w:val="1D1B1C"/>
                <w:sz w:val="18"/>
                <w:szCs w:val="18"/>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考核</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3301"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val="en-US" w:eastAsia="zh-CN"/>
              </w:rPr>
            </w:pPr>
            <w:r>
              <w:rPr>
                <w:rFonts w:hint="eastAsia" w:ascii="仿宋_GB2312" w:hAnsi="仿宋_GB2312" w:eastAsia="仿宋_GB2312" w:cs="仿宋_GB2312"/>
                <w:b w:val="0"/>
                <w:bCs w:val="0"/>
                <w:color w:val="1D1B1C"/>
                <w:sz w:val="21"/>
                <w:szCs w:val="21"/>
                <w:lang w:val="en-US" w:eastAsia="zh-CN"/>
              </w:rPr>
              <w:t>16</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right="0" w:firstLine="180" w:firstLineChars="10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288</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208</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lang w:val="en-US" w:eastAsia="zh-CN"/>
              </w:rPr>
            </w:pPr>
            <w:r>
              <w:rPr>
                <w:rFonts w:hint="eastAsia" w:ascii="仿宋_GB2312" w:hAnsi="仿宋_GB2312" w:eastAsia="仿宋_GB2312" w:cs="仿宋_GB2312"/>
                <w:b w:val="0"/>
                <w:bCs w:val="0"/>
                <w:color w:val="1D1B1C"/>
                <w:sz w:val="18"/>
                <w:szCs w:val="18"/>
                <w:lang w:val="en-US" w:eastAsia="zh-CN"/>
              </w:rPr>
              <w:t>80</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985"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lang w:eastAsia="zh-CN"/>
        </w:rPr>
        <w:t>六</w:t>
      </w:r>
      <w:r>
        <w:rPr>
          <w:rFonts w:hint="eastAsia" w:ascii="仿宋_GB2312" w:hAnsi="仿宋_GB2312" w:eastAsia="仿宋_GB2312" w:cs="仿宋_GB2312"/>
          <w:b/>
          <w:bCs/>
          <w:i w:val="0"/>
          <w:iCs w:val="0"/>
          <w:caps w:val="0"/>
          <w:color w:val="1D1B1C"/>
          <w:spacing w:val="0"/>
          <w:sz w:val="32"/>
          <w:szCs w:val="32"/>
          <w:shd w:val="clear" w:fill="FFFFFF"/>
        </w:rPr>
        <w:t>、选拔要求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本专业通过提交作品进行选拔</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所有课程于周末、假期开设，学生必须处理好本专业课程与主专业课程的冲突，不能旷课</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w:t>
      </w:r>
      <w:bookmarkStart w:id="0" w:name="_GoBack"/>
      <w:bookmarkEnd w:id="0"/>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lang w:eastAsia="zh-CN"/>
        </w:rPr>
        <w:t>七、咨询及报名方式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预报名请加</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QQ</w:t>
      </w:r>
      <w:r>
        <w:rPr>
          <w:rFonts w:hint="eastAsia" w:ascii="仿宋_GB2312" w:hAnsi="仿宋_GB2312" w:eastAsia="仿宋_GB2312" w:cs="仿宋_GB2312"/>
          <w:b w:val="0"/>
          <w:bCs w:val="0"/>
          <w:i w:val="0"/>
          <w:iCs w:val="0"/>
          <w:caps w:val="0"/>
          <w:color w:val="1D1B1C"/>
          <w:spacing w:val="0"/>
          <w:sz w:val="28"/>
          <w:szCs w:val="28"/>
          <w:shd w:val="clear" w:fill="FFFFFF"/>
          <w:lang w:eastAsia="zh-CN"/>
        </w:rPr>
        <w:t>群（</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462096181</w:t>
      </w:r>
      <w:r>
        <w:rPr>
          <w:rFonts w:hint="eastAsia" w:ascii="仿宋_GB2312" w:hAnsi="仿宋_GB2312" w:eastAsia="仿宋_GB2312" w:cs="仿宋_GB2312"/>
          <w:b w:val="0"/>
          <w:bCs w:val="0"/>
          <w:i w:val="0"/>
          <w:iCs w:val="0"/>
          <w:caps w:val="0"/>
          <w:color w:val="1D1B1C"/>
          <w:spacing w:val="0"/>
          <w:sz w:val="28"/>
          <w:szCs w:val="28"/>
          <w:shd w:val="clear" w:fill="FFFFFF"/>
          <w:lang w:eastAsia="zh-CN"/>
        </w:rPr>
        <w:t>）进行咨询，同时提供报名表，报名表</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发到576289413@qq.com</w:t>
      </w:r>
    </w:p>
    <w:p>
      <w:pPr>
        <w:rPr>
          <w:rFonts w:hint="eastAsia" w:ascii="仿宋_GB2312" w:hAnsi="仿宋_GB2312" w:eastAsia="仿宋_GB2312" w:cs="仿宋_GB2312"/>
          <w:lang w:eastAsia="zh-CN"/>
        </w:rPr>
      </w:pPr>
      <w:r>
        <w:rPr>
          <w:rFonts w:hint="eastAsia" w:ascii="仿宋_GB2312" w:hAnsi="仿宋_GB2312" w:eastAsia="仿宋_GB2312" w:cs="仿宋_GB2312"/>
          <w:lang w:eastAsia="zh-CN"/>
        </w:rPr>
        <w:drawing>
          <wp:inline distT="0" distB="0" distL="114300" distR="114300">
            <wp:extent cx="4298315" cy="5326380"/>
            <wp:effectExtent l="0" t="0" r="6985" b="7620"/>
            <wp:docPr id="2" name="图片 2" descr="QQ截图20230710144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截图20230710144420"/>
                    <pic:cNvPicPr>
                      <a:picLocks noChangeAspect="1"/>
                    </pic:cNvPicPr>
                  </pic:nvPicPr>
                  <pic:blipFill>
                    <a:blip r:embed="rId4"/>
                    <a:stretch>
                      <a:fillRect/>
                    </a:stretch>
                  </pic:blipFill>
                  <pic:spPr>
                    <a:xfrm>
                      <a:off x="0" y="0"/>
                      <a:ext cx="4298315" cy="532638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YWY2YmRkNGU4YzIxMmNlYzA1YTEzYmQ4YjdiNjcifQ=="/>
  </w:docVars>
  <w:rsids>
    <w:rsidRoot w:val="16430725"/>
    <w:rsid w:val="008B492C"/>
    <w:rsid w:val="0CB72F7A"/>
    <w:rsid w:val="12304FEC"/>
    <w:rsid w:val="16430725"/>
    <w:rsid w:val="234E00AF"/>
    <w:rsid w:val="2402081D"/>
    <w:rsid w:val="28BC7E18"/>
    <w:rsid w:val="344C3E53"/>
    <w:rsid w:val="4AE1055F"/>
    <w:rsid w:val="538B06A9"/>
    <w:rsid w:val="54A53BB4"/>
    <w:rsid w:val="56E9376B"/>
    <w:rsid w:val="5BAF3F71"/>
    <w:rsid w:val="6BC12241"/>
    <w:rsid w:val="725A26CD"/>
    <w:rsid w:val="7319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328</Words>
  <Characters>364</Characters>
  <Lines>0</Lines>
  <Paragraphs>0</Paragraphs>
  <TotalTime>598</TotalTime>
  <ScaleCrop>false</ScaleCrop>
  <LinksUpToDate>false</LinksUpToDate>
  <CharactersWithSpaces>370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cp:lastModifiedBy>
  <dcterms:modified xsi:type="dcterms:W3CDTF">2023-09-04T00:36:28Z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9E75700069694E3A940977C6F42B8AAC_11</vt:lpwstr>
  </property>
  <property fmtid="{D5CDD505-2E9C-101B-9397-08002B2CF9AE}" pid="4" name="KSORubyTemplateID" linkTarget="0">
    <vt:lpwstr>6</vt:lpwstr>
  </property>
</Properties>
</file>