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line="900" w:lineRule="atLeast"/>
        <w:ind w:left="0" w:firstLine="0"/>
        <w:jc w:val="center"/>
        <w:rPr>
          <w:rFonts w:hint="eastAsia" w:ascii="仿宋_GB2312" w:hAnsi="仿宋_GB2312" w:eastAsia="仿宋_GB2312" w:cs="仿宋_GB2312"/>
          <w:b/>
          <w:bCs/>
          <w:i w:val="0"/>
          <w:iCs w:val="0"/>
          <w:caps w:val="0"/>
          <w:color w:val="364C7B"/>
          <w:spacing w:val="0"/>
          <w:kern w:val="0"/>
          <w:sz w:val="36"/>
          <w:szCs w:val="36"/>
          <w:shd w:val="clear" w:fill="FFFFFF"/>
          <w:lang w:val="en-US" w:eastAsia="zh-CN" w:bidi="ar"/>
        </w:rPr>
      </w:pPr>
      <w:r>
        <w:rPr>
          <w:rFonts w:hint="eastAsia" w:ascii="仿宋_GB2312" w:hAnsi="仿宋_GB2312" w:eastAsia="仿宋_GB2312" w:cs="仿宋_GB2312"/>
          <w:b/>
          <w:bCs/>
          <w:i w:val="0"/>
          <w:iCs w:val="0"/>
          <w:caps w:val="0"/>
          <w:color w:val="364C7B"/>
          <w:spacing w:val="0"/>
          <w:kern w:val="0"/>
          <w:sz w:val="36"/>
          <w:szCs w:val="36"/>
          <w:shd w:val="clear" w:fill="FFFFFF"/>
          <w:lang w:val="en-US" w:eastAsia="zh-CN" w:bidi="ar"/>
        </w:rPr>
        <w:t>武夷学院智慧研学旅行微专业招生简章</w:t>
      </w:r>
    </w:p>
    <w:p>
      <w:pPr>
        <w:keepNext w:val="0"/>
        <w:keepLines w:val="0"/>
        <w:widowControl/>
        <w:suppressLineNumbers w:val="0"/>
        <w:shd w:val="clear" w:fill="FFFFFF"/>
        <w:spacing w:line="900" w:lineRule="atLeast"/>
        <w:ind w:left="0" w:firstLine="0"/>
        <w:jc w:val="center"/>
        <w:rPr>
          <w:rFonts w:hint="eastAsia" w:ascii="仿宋_GB2312" w:hAnsi="仿宋_GB2312" w:eastAsia="仿宋_GB2312" w:cs="仿宋_GB2312"/>
          <w:i w:val="0"/>
          <w:iCs w:val="0"/>
          <w:caps w:val="0"/>
          <w:color w:val="364C7B"/>
          <w:spacing w:val="0"/>
          <w:kern w:val="0"/>
          <w:sz w:val="33"/>
          <w:szCs w:val="33"/>
          <w:shd w:val="clear" w:fill="FFFFFF"/>
          <w:lang w:val="en-US" w:eastAsia="zh-CN" w:bidi="ar"/>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color w:val="1D1B1C"/>
          <w:sz w:val="32"/>
          <w:szCs w:val="32"/>
        </w:rPr>
      </w:pPr>
      <w:r>
        <w:rPr>
          <w:rFonts w:hint="eastAsia" w:ascii="仿宋_GB2312" w:hAnsi="仿宋_GB2312" w:eastAsia="仿宋_GB2312" w:cs="仿宋_GB2312"/>
          <w:b/>
          <w:bCs/>
          <w:i w:val="0"/>
          <w:iCs w:val="0"/>
          <w:caps w:val="0"/>
          <w:color w:val="1D1B1C"/>
          <w:spacing w:val="0"/>
          <w:sz w:val="32"/>
          <w:szCs w:val="32"/>
          <w:shd w:val="clear" w:fill="FFFFFF"/>
        </w:rPr>
        <w:t>一、专业简介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val="0"/>
          <w:bCs w:val="0"/>
          <w:i w:val="0"/>
          <w:iCs w:val="0"/>
          <w:caps w:val="0"/>
          <w:color w:val="1D1B1C"/>
          <w:spacing w:val="0"/>
          <w:sz w:val="28"/>
          <w:szCs w:val="28"/>
          <w:shd w:val="clear" w:fill="FFFFFF"/>
          <w:lang w:val="en-US" w:eastAsia="zh-CN"/>
        </w:rPr>
      </w:pP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智慧研学旅行微专业适应中小学素质教育改革、推行研学实践活动发展以及“十四五”数字经济建设发展需要，具有非常广阔的就业前景。面向研学旅行产业高质量发展的定制化、个性化、数字化未来人才需求，着重培养学生掌握研学旅行指导师服务、课程（产品）开发、研学市场营销、基（营）地运营与管理、线上研学、智慧旅游等基本知识和能力，能够在中小学、研学机构、研学旅行基（营）地、旅游景区、文博场馆、涉旅国企等企事业单位从事研学旅行管理与服务的高素质技能人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default" w:ascii="仿宋_GB2312" w:hAnsi="仿宋_GB2312" w:eastAsia="仿宋_GB2312" w:cs="仿宋_GB2312"/>
          <w:b w:val="0"/>
          <w:bCs w:val="0"/>
          <w:i w:val="0"/>
          <w:iCs w:val="0"/>
          <w:caps w:val="0"/>
          <w:color w:val="1D1B1C"/>
          <w:spacing w:val="0"/>
          <w:sz w:val="28"/>
          <w:szCs w:val="28"/>
          <w:shd w:val="clear" w:fill="FFFFFF"/>
          <w:lang w:val="en-US" w:eastAsia="zh-CN"/>
        </w:rPr>
      </w:pP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本微专业依托我校旅游学院旅游管理省级一流应用型学科和省级一流本科专业建设点，师资力量雄厚，行业导师众多，应用型特色鲜明。通过“专+证+赛”深度融合育人模式，实现最幸福学习、最接近业态和高溢出回报的微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color w:val="1D1B1C"/>
          <w:sz w:val="32"/>
          <w:szCs w:val="32"/>
        </w:rPr>
      </w:pPr>
      <w:r>
        <w:rPr>
          <w:rFonts w:hint="eastAsia" w:ascii="仿宋_GB2312" w:hAnsi="仿宋_GB2312" w:eastAsia="仿宋_GB2312" w:cs="仿宋_GB2312"/>
          <w:b/>
          <w:bCs/>
          <w:i w:val="0"/>
          <w:iCs w:val="0"/>
          <w:caps w:val="0"/>
          <w:color w:val="1D1B1C"/>
          <w:spacing w:val="0"/>
          <w:sz w:val="32"/>
          <w:szCs w:val="32"/>
          <w:shd w:val="clear" w:fill="FFFFFF"/>
        </w:rPr>
        <w:t>二、培养目标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480"/>
        <w:jc w:val="left"/>
        <w:rPr>
          <w:rFonts w:hint="eastAsia" w:ascii="仿宋_GB2312" w:hAnsi="仿宋_GB2312" w:eastAsia="仿宋_GB2312" w:cs="仿宋_GB2312"/>
          <w:b w:val="0"/>
          <w:bCs w:val="0"/>
          <w:i w:val="0"/>
          <w:iCs w:val="0"/>
          <w:caps w:val="0"/>
          <w:color w:val="1D1B1C"/>
          <w:spacing w:val="0"/>
          <w:sz w:val="28"/>
          <w:szCs w:val="28"/>
          <w:shd w:val="clear" w:fill="FFFFFF"/>
        </w:rPr>
      </w:pPr>
      <w:r>
        <w:rPr>
          <w:rFonts w:hint="eastAsia" w:ascii="仿宋_GB2312" w:hAnsi="仿宋_GB2312" w:eastAsia="仿宋_GB2312" w:cs="仿宋_GB2312"/>
          <w:b w:val="0"/>
          <w:bCs w:val="0"/>
          <w:i w:val="0"/>
          <w:iCs w:val="0"/>
          <w:caps w:val="0"/>
          <w:color w:val="1D1B1C"/>
          <w:spacing w:val="0"/>
          <w:sz w:val="28"/>
          <w:szCs w:val="28"/>
          <w:shd w:val="clear" w:fill="FFFFFF"/>
        </w:rPr>
        <w:t>以新时代数字文旅产业高质量发展为导向，聚焦研学产业高质量发展的新技术、新业态和新场景需求，通过跨学校、跨专业联合培养的模式，培养能够服务于研学旅行产业的高素质数字文旅应用型人才。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color w:val="1D1B1C"/>
          <w:sz w:val="32"/>
          <w:szCs w:val="32"/>
        </w:rPr>
      </w:pPr>
      <w:r>
        <w:rPr>
          <w:rFonts w:hint="eastAsia" w:ascii="仿宋_GB2312" w:hAnsi="仿宋_GB2312" w:eastAsia="仿宋_GB2312" w:cs="仿宋_GB2312"/>
          <w:b/>
          <w:bCs/>
          <w:i w:val="0"/>
          <w:iCs w:val="0"/>
          <w:caps w:val="0"/>
          <w:color w:val="1D1B1C"/>
          <w:spacing w:val="0"/>
          <w:sz w:val="32"/>
          <w:szCs w:val="32"/>
          <w:shd w:val="clear" w:fill="FFFFFF"/>
        </w:rPr>
        <w:t>三、招生对象及计划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480"/>
        <w:jc w:val="left"/>
        <w:rPr>
          <w:rFonts w:hint="eastAsia" w:ascii="仿宋_GB2312" w:hAnsi="仿宋_GB2312" w:eastAsia="仿宋_GB2312" w:cs="仿宋_GB2312"/>
          <w:b w:val="0"/>
          <w:bCs w:val="0"/>
          <w:i w:val="0"/>
          <w:iCs w:val="0"/>
          <w:caps w:val="0"/>
          <w:color w:val="1D1B1C"/>
          <w:spacing w:val="0"/>
          <w:sz w:val="28"/>
          <w:szCs w:val="28"/>
          <w:shd w:val="clear" w:fill="FFFFFF"/>
        </w:rPr>
      </w:pPr>
      <w:r>
        <w:rPr>
          <w:rFonts w:hint="eastAsia" w:ascii="仿宋_GB2312" w:hAnsi="仿宋_GB2312" w:eastAsia="仿宋_GB2312" w:cs="仿宋_GB2312"/>
          <w:b w:val="0"/>
          <w:bCs w:val="0"/>
          <w:i w:val="0"/>
          <w:iCs w:val="0"/>
          <w:caps w:val="0"/>
          <w:color w:val="1D1B1C"/>
          <w:spacing w:val="0"/>
          <w:sz w:val="28"/>
          <w:szCs w:val="28"/>
          <w:shd w:val="clear" w:fill="FFFFFF"/>
        </w:rPr>
        <w:t>招生对象：面向大二及以上全日制在校学生，原则上每位学生限选1个微专业修读，教学活动安排在第</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三</w:t>
      </w:r>
      <w:r>
        <w:rPr>
          <w:rFonts w:hint="eastAsia" w:ascii="仿宋_GB2312" w:hAnsi="仿宋_GB2312" w:eastAsia="仿宋_GB2312" w:cs="仿宋_GB2312"/>
          <w:b w:val="0"/>
          <w:bCs w:val="0"/>
          <w:i w:val="0"/>
          <w:iCs w:val="0"/>
          <w:caps w:val="0"/>
          <w:color w:val="1D1B1C"/>
          <w:spacing w:val="0"/>
          <w:sz w:val="28"/>
          <w:szCs w:val="28"/>
          <w:shd w:val="clear" w:fill="FFFFFF"/>
        </w:rPr>
        <w:t>至</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六</w:t>
      </w:r>
      <w:r>
        <w:rPr>
          <w:rFonts w:hint="eastAsia" w:ascii="仿宋_GB2312" w:hAnsi="仿宋_GB2312" w:eastAsia="仿宋_GB2312" w:cs="仿宋_GB2312"/>
          <w:b w:val="0"/>
          <w:bCs w:val="0"/>
          <w:i w:val="0"/>
          <w:iCs w:val="0"/>
          <w:caps w:val="0"/>
          <w:color w:val="1D1B1C"/>
          <w:spacing w:val="0"/>
          <w:sz w:val="28"/>
          <w:szCs w:val="28"/>
          <w:shd w:val="clear" w:fill="FFFFFF"/>
        </w:rPr>
        <w:t>学期。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480"/>
        <w:jc w:val="left"/>
        <w:rPr>
          <w:rFonts w:hint="eastAsia" w:ascii="仿宋_GB2312" w:hAnsi="仿宋_GB2312" w:eastAsia="仿宋_GB2312" w:cs="仿宋_GB2312"/>
          <w:b w:val="0"/>
          <w:bCs w:val="0"/>
          <w:color w:val="1D1B1C"/>
          <w:sz w:val="28"/>
          <w:szCs w:val="28"/>
        </w:rPr>
      </w:pPr>
      <w:r>
        <w:rPr>
          <w:rFonts w:hint="eastAsia" w:ascii="仿宋_GB2312" w:hAnsi="仿宋_GB2312" w:eastAsia="仿宋_GB2312" w:cs="仿宋_GB2312"/>
          <w:b w:val="0"/>
          <w:bCs w:val="0"/>
          <w:i w:val="0"/>
          <w:iCs w:val="0"/>
          <w:caps w:val="0"/>
          <w:color w:val="1D1B1C"/>
          <w:spacing w:val="0"/>
          <w:sz w:val="28"/>
          <w:szCs w:val="28"/>
          <w:shd w:val="clear" w:fill="FFFFFF"/>
        </w:rPr>
        <w:t>招生计划：</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20</w:t>
      </w:r>
      <w:r>
        <w:rPr>
          <w:rFonts w:hint="eastAsia" w:ascii="仿宋_GB2312" w:hAnsi="仿宋_GB2312" w:eastAsia="仿宋_GB2312" w:cs="仿宋_GB2312"/>
          <w:b w:val="0"/>
          <w:bCs w:val="0"/>
          <w:i w:val="0"/>
          <w:iCs w:val="0"/>
          <w:caps w:val="0"/>
          <w:color w:val="1D1B1C"/>
          <w:spacing w:val="0"/>
          <w:sz w:val="28"/>
          <w:szCs w:val="28"/>
          <w:shd w:val="clear" w:fill="FFFFFF"/>
        </w:rPr>
        <w:t>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color w:val="1D1B1C"/>
          <w:sz w:val="32"/>
          <w:szCs w:val="32"/>
          <w:lang w:eastAsia="zh-CN"/>
        </w:rPr>
      </w:pPr>
      <w:r>
        <w:rPr>
          <w:rFonts w:hint="eastAsia" w:ascii="仿宋_GB2312" w:hAnsi="仿宋_GB2312" w:eastAsia="仿宋_GB2312" w:cs="仿宋_GB2312"/>
          <w:b/>
          <w:bCs/>
          <w:i w:val="0"/>
          <w:iCs w:val="0"/>
          <w:caps w:val="0"/>
          <w:color w:val="1D1B1C"/>
          <w:spacing w:val="0"/>
          <w:sz w:val="32"/>
          <w:szCs w:val="32"/>
          <w:shd w:val="clear" w:fill="FFFFFF"/>
        </w:rPr>
        <w:t>四、</w:t>
      </w:r>
      <w:r>
        <w:rPr>
          <w:rFonts w:hint="eastAsia" w:ascii="仿宋_GB2312" w:hAnsi="仿宋_GB2312" w:eastAsia="仿宋_GB2312" w:cs="仿宋_GB2312"/>
          <w:b/>
          <w:bCs/>
          <w:i w:val="0"/>
          <w:iCs w:val="0"/>
          <w:caps w:val="0"/>
          <w:color w:val="1D1B1C"/>
          <w:spacing w:val="0"/>
          <w:sz w:val="32"/>
          <w:szCs w:val="32"/>
          <w:shd w:val="clear" w:fill="FFFFFF"/>
          <w:lang w:eastAsia="zh-CN"/>
        </w:rPr>
        <w:t>修读</w:t>
      </w:r>
      <w:r>
        <w:rPr>
          <w:rFonts w:hint="eastAsia" w:ascii="仿宋_GB2312" w:hAnsi="仿宋_GB2312" w:eastAsia="仿宋_GB2312" w:cs="仿宋_GB2312"/>
          <w:b/>
          <w:bCs/>
          <w:i w:val="0"/>
          <w:iCs w:val="0"/>
          <w:caps w:val="0"/>
          <w:color w:val="1D1B1C"/>
          <w:spacing w:val="0"/>
          <w:sz w:val="32"/>
          <w:szCs w:val="32"/>
          <w:shd w:val="clear" w:fill="FFFFFF"/>
        </w:rPr>
        <w:t>学分及证书</w:t>
      </w:r>
      <w:r>
        <w:rPr>
          <w:rFonts w:hint="eastAsia" w:ascii="仿宋_GB2312" w:hAnsi="仿宋_GB2312" w:eastAsia="仿宋_GB2312" w:cs="仿宋_GB2312"/>
          <w:b/>
          <w:bCs/>
          <w:i w:val="0"/>
          <w:iCs w:val="0"/>
          <w:caps w:val="0"/>
          <w:color w:val="1D1B1C"/>
          <w:spacing w:val="0"/>
          <w:sz w:val="32"/>
          <w:szCs w:val="32"/>
          <w:shd w:val="clear" w:fill="FFFFFF"/>
          <w:lang w:eastAsia="zh-CN"/>
        </w:rPr>
        <w:t>发放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val="0"/>
          <w:bCs w:val="0"/>
          <w:i w:val="0"/>
          <w:iCs w:val="0"/>
          <w:caps w:val="0"/>
          <w:color w:val="1D1B1C"/>
          <w:spacing w:val="0"/>
          <w:sz w:val="28"/>
          <w:szCs w:val="28"/>
          <w:shd w:val="clear" w:fill="FFFFFF"/>
        </w:rPr>
      </w:pPr>
      <w:r>
        <w:rPr>
          <w:rFonts w:hint="eastAsia" w:ascii="仿宋_GB2312" w:hAnsi="仿宋_GB2312" w:eastAsia="仿宋_GB2312" w:cs="仿宋_GB2312"/>
          <w:b w:val="0"/>
          <w:bCs w:val="0"/>
          <w:i w:val="0"/>
          <w:iCs w:val="0"/>
          <w:caps w:val="0"/>
          <w:color w:val="1D1B1C"/>
          <w:spacing w:val="0"/>
          <w:sz w:val="28"/>
          <w:szCs w:val="28"/>
          <w:shd w:val="clear" w:fill="FFFFFF"/>
        </w:rPr>
        <w:t>学生在</w:t>
      </w:r>
      <w:bookmarkStart w:id="0" w:name="_GoBack"/>
      <w:bookmarkEnd w:id="0"/>
      <w:r>
        <w:rPr>
          <w:rFonts w:hint="eastAsia" w:ascii="仿宋_GB2312" w:hAnsi="仿宋_GB2312" w:eastAsia="仿宋_GB2312" w:cs="仿宋_GB2312"/>
          <w:b w:val="0"/>
          <w:bCs w:val="0"/>
          <w:i w:val="0"/>
          <w:iCs w:val="0"/>
          <w:caps w:val="0"/>
          <w:color w:val="1D1B1C"/>
          <w:spacing w:val="0"/>
          <w:sz w:val="28"/>
          <w:szCs w:val="28"/>
          <w:shd w:val="clear" w:fill="FFFFFF"/>
        </w:rPr>
        <w:t>毕业前，修满本培养方案规定的2</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0</w:t>
      </w:r>
      <w:r>
        <w:rPr>
          <w:rFonts w:hint="eastAsia" w:ascii="仿宋_GB2312" w:hAnsi="仿宋_GB2312" w:eastAsia="仿宋_GB2312" w:cs="仿宋_GB2312"/>
          <w:b w:val="0"/>
          <w:bCs w:val="0"/>
          <w:i w:val="0"/>
          <w:iCs w:val="0"/>
          <w:caps w:val="0"/>
          <w:color w:val="1D1B1C"/>
          <w:spacing w:val="0"/>
          <w:sz w:val="28"/>
          <w:szCs w:val="28"/>
          <w:shd w:val="clear" w:fill="FFFFFF"/>
        </w:rPr>
        <w:t>个学分，成绩合格，颁发“武夷学院智慧研学旅行微专业修读证明”。</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i w:val="0"/>
          <w:iCs w:val="0"/>
          <w:caps w:val="0"/>
          <w:color w:val="1D1B1C"/>
          <w:spacing w:val="0"/>
          <w:sz w:val="32"/>
          <w:szCs w:val="32"/>
          <w:shd w:val="clear" w:fill="FFFFFF"/>
        </w:rPr>
      </w:pPr>
      <w:r>
        <w:rPr>
          <w:rFonts w:hint="eastAsia" w:ascii="仿宋_GB2312" w:hAnsi="仿宋_GB2312" w:eastAsia="仿宋_GB2312" w:cs="仿宋_GB2312"/>
          <w:b/>
          <w:bCs/>
          <w:i w:val="0"/>
          <w:iCs w:val="0"/>
          <w:caps w:val="0"/>
          <w:color w:val="1D1B1C"/>
          <w:spacing w:val="0"/>
          <w:sz w:val="32"/>
          <w:szCs w:val="32"/>
          <w:shd w:val="clear" w:fill="FFFFFF"/>
        </w:rPr>
        <w:t>课程设置与教学安排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480"/>
        <w:jc w:val="left"/>
        <w:rPr>
          <w:rFonts w:hint="eastAsia" w:ascii="仿宋_GB2312" w:hAnsi="仿宋_GB2312" w:eastAsia="仿宋_GB2312" w:cs="仿宋_GB2312"/>
          <w:b w:val="0"/>
          <w:bCs w:val="0"/>
          <w:i w:val="0"/>
          <w:iCs w:val="0"/>
          <w:caps w:val="0"/>
          <w:color w:val="1D1B1C"/>
          <w:spacing w:val="0"/>
          <w:sz w:val="28"/>
          <w:szCs w:val="28"/>
          <w:shd w:val="clear" w:fill="FFFFFF"/>
        </w:rPr>
      </w:pPr>
      <w:r>
        <w:rPr>
          <w:rFonts w:hint="eastAsia" w:ascii="仿宋_GB2312" w:hAnsi="仿宋_GB2312" w:eastAsia="仿宋_GB2312" w:cs="仿宋_GB2312"/>
          <w:b w:val="0"/>
          <w:bCs w:val="0"/>
          <w:i w:val="0"/>
          <w:iCs w:val="0"/>
          <w:caps w:val="0"/>
          <w:color w:val="1D1B1C"/>
          <w:spacing w:val="0"/>
          <w:sz w:val="28"/>
          <w:szCs w:val="28"/>
          <w:shd w:val="clear" w:fill="FFFFFF"/>
        </w:rPr>
        <w:t>单独编班，教学活动安排在第</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三</w:t>
      </w:r>
      <w:r>
        <w:rPr>
          <w:rFonts w:hint="eastAsia" w:ascii="仿宋_GB2312" w:hAnsi="仿宋_GB2312" w:eastAsia="仿宋_GB2312" w:cs="仿宋_GB2312"/>
          <w:b w:val="0"/>
          <w:bCs w:val="0"/>
          <w:i w:val="0"/>
          <w:iCs w:val="0"/>
          <w:caps w:val="0"/>
          <w:color w:val="1D1B1C"/>
          <w:spacing w:val="0"/>
          <w:sz w:val="28"/>
          <w:szCs w:val="28"/>
          <w:shd w:val="clear" w:fill="FFFFFF"/>
        </w:rPr>
        <w:t>至</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六</w:t>
      </w:r>
      <w:r>
        <w:rPr>
          <w:rFonts w:hint="eastAsia" w:ascii="仿宋_GB2312" w:hAnsi="仿宋_GB2312" w:eastAsia="仿宋_GB2312" w:cs="仿宋_GB2312"/>
          <w:b w:val="0"/>
          <w:bCs w:val="0"/>
          <w:i w:val="0"/>
          <w:iCs w:val="0"/>
          <w:caps w:val="0"/>
          <w:color w:val="1D1B1C"/>
          <w:spacing w:val="0"/>
          <w:sz w:val="28"/>
          <w:szCs w:val="28"/>
          <w:shd w:val="clear" w:fill="FFFFFF"/>
        </w:rPr>
        <w:t>学期。面授课或实践活动主要安排在周六、周日</w:t>
      </w:r>
      <w:r>
        <w:rPr>
          <w:rFonts w:hint="eastAsia" w:ascii="仿宋_GB2312" w:hAnsi="仿宋_GB2312" w:eastAsia="仿宋_GB2312" w:cs="仿宋_GB2312"/>
          <w:b w:val="0"/>
          <w:bCs w:val="0"/>
          <w:i w:val="0"/>
          <w:iCs w:val="0"/>
          <w:caps w:val="0"/>
          <w:color w:val="1D1B1C"/>
          <w:spacing w:val="0"/>
          <w:sz w:val="28"/>
          <w:szCs w:val="28"/>
          <w:shd w:val="clear" w:fill="FFFFFF"/>
          <w:lang w:eastAsia="zh-CN"/>
        </w:rPr>
        <w:t>或寒暑假</w:t>
      </w:r>
      <w:r>
        <w:rPr>
          <w:rFonts w:hint="eastAsia" w:ascii="仿宋_GB2312" w:hAnsi="仿宋_GB2312" w:eastAsia="仿宋_GB2312" w:cs="仿宋_GB2312"/>
          <w:b w:val="0"/>
          <w:bCs w:val="0"/>
          <w:i w:val="0"/>
          <w:iCs w:val="0"/>
          <w:caps w:val="0"/>
          <w:color w:val="1D1B1C"/>
          <w:spacing w:val="0"/>
          <w:sz w:val="28"/>
          <w:szCs w:val="28"/>
          <w:shd w:val="clear" w:fill="FFFFFF"/>
        </w:rPr>
        <w:t>开展。</w:t>
      </w:r>
      <w:r>
        <w:rPr>
          <w:rFonts w:hint="eastAsia" w:ascii="仿宋_GB2312" w:hAnsi="仿宋_GB2312" w:eastAsia="仿宋_GB2312" w:cs="仿宋_GB2312"/>
          <w:b w:val="0"/>
          <w:bCs w:val="0"/>
          <w:i w:val="0"/>
          <w:iCs w:val="0"/>
          <w:caps w:val="0"/>
          <w:color w:val="1D1B1C"/>
          <w:spacing w:val="0"/>
          <w:sz w:val="28"/>
          <w:szCs w:val="28"/>
          <w:shd w:val="clear" w:fill="FFFFFF"/>
          <w:lang w:eastAsia="zh-CN"/>
        </w:rPr>
        <w:t>具体安排如下：</w:t>
      </w:r>
    </w:p>
    <w:tbl>
      <w:tblPr>
        <w:tblStyle w:val="5"/>
        <w:tblW w:w="799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865"/>
        <w:gridCol w:w="2436"/>
        <w:gridCol w:w="538"/>
        <w:gridCol w:w="776"/>
        <w:gridCol w:w="584"/>
        <w:gridCol w:w="599"/>
        <w:gridCol w:w="614"/>
        <w:gridCol w:w="599"/>
        <w:gridCol w:w="9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20" w:hRule="atLeast"/>
          <w:jc w:val="center"/>
        </w:trPr>
        <w:tc>
          <w:tcPr>
            <w:tcW w:w="865" w:type="dxa"/>
            <w:tcBorders>
              <w:top w:val="single" w:color="auto" w:sz="12"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课程编码</w:t>
            </w:r>
          </w:p>
        </w:tc>
        <w:tc>
          <w:tcPr>
            <w:tcW w:w="2436" w:type="dxa"/>
            <w:tcBorders>
              <w:top w:val="single" w:color="auto" w:sz="12"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课  程  名  称</w:t>
            </w:r>
          </w:p>
        </w:tc>
        <w:tc>
          <w:tcPr>
            <w:tcW w:w="538" w:type="dxa"/>
            <w:tcBorders>
              <w:top w:val="single" w:color="auto" w:sz="12"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学分</w:t>
            </w:r>
          </w:p>
        </w:tc>
        <w:tc>
          <w:tcPr>
            <w:tcW w:w="776" w:type="dxa"/>
            <w:tcBorders>
              <w:top w:val="single" w:color="auto" w:sz="12"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总学时</w:t>
            </w:r>
          </w:p>
        </w:tc>
        <w:tc>
          <w:tcPr>
            <w:tcW w:w="584"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理论学时</w:t>
            </w:r>
          </w:p>
        </w:tc>
        <w:tc>
          <w:tcPr>
            <w:tcW w:w="599"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实验学时</w:t>
            </w:r>
          </w:p>
        </w:tc>
        <w:tc>
          <w:tcPr>
            <w:tcW w:w="614"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实践学时</w:t>
            </w:r>
          </w:p>
        </w:tc>
        <w:tc>
          <w:tcPr>
            <w:tcW w:w="599"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考核方式</w:t>
            </w:r>
          </w:p>
        </w:tc>
        <w:tc>
          <w:tcPr>
            <w:tcW w:w="985" w:type="dxa"/>
            <w:tcBorders>
              <w:top w:val="single" w:color="auto" w:sz="12"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上课方式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01</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智慧旅游理论与实践</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36</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24</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12</w:t>
            </w: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0</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考查</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线上线下结合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02</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海外研学旅行实务</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36</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24</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12</w:t>
            </w: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0</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考查</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线上线下结合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03</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研学旅行课程设计</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3</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56</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32</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24</w:t>
            </w: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0</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考查</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线上线下结合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04</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短视频拍摄和剪辑</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3</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56</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32</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24</w:t>
            </w: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0</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考查</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线上线下结合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05</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线上研学旅行实务</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3</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56</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32</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24</w:t>
            </w: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0</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考查</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线上线下结合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06</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研学旅行指导师实务</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3</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56</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32</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24</w:t>
            </w: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0</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考查</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线上线下结合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07</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智慧研学旅行专业认知</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1</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24</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0</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0</w:t>
            </w: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24</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考查</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08</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研学旅行基地综合实践</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3</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72</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0</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0</w:t>
            </w: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72</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考查</w:t>
            </w: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5" w:hRule="atLeast"/>
          <w:jc w:val="center"/>
        </w:trPr>
        <w:tc>
          <w:tcPr>
            <w:tcW w:w="3301" w:type="dxa"/>
            <w:gridSpan w:val="2"/>
            <w:tcBorders>
              <w:top w:val="single" w:color="auto" w:sz="6" w:space="0"/>
              <w:left w:val="single" w:color="auto" w:sz="12" w:space="0"/>
              <w:bottom w:val="single" w:color="auto" w:sz="12"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小计</w:t>
            </w:r>
          </w:p>
        </w:tc>
        <w:tc>
          <w:tcPr>
            <w:tcW w:w="538" w:type="dxa"/>
            <w:tcBorders>
              <w:top w:val="single" w:color="auto" w:sz="6" w:space="0"/>
              <w:left w:val="single" w:color="auto" w:sz="6" w:space="0"/>
              <w:bottom w:val="single" w:color="auto" w:sz="12"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20</w:t>
            </w:r>
          </w:p>
        </w:tc>
        <w:tc>
          <w:tcPr>
            <w:tcW w:w="776" w:type="dxa"/>
            <w:tcBorders>
              <w:top w:val="single" w:color="auto" w:sz="6" w:space="0"/>
              <w:left w:val="single" w:color="auto" w:sz="6" w:space="0"/>
              <w:bottom w:val="single" w:color="auto" w:sz="12"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392</w:t>
            </w:r>
          </w:p>
        </w:tc>
        <w:tc>
          <w:tcPr>
            <w:tcW w:w="584"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176</w:t>
            </w:r>
          </w:p>
        </w:tc>
        <w:tc>
          <w:tcPr>
            <w:tcW w:w="599" w:type="dxa"/>
            <w:tcBorders>
              <w:top w:val="single" w:color="auto" w:sz="6" w:space="0"/>
              <w:left w:val="single" w:color="auto" w:sz="6" w:space="0"/>
              <w:bottom w:val="single" w:color="auto" w:sz="12" w:space="0"/>
              <w:right w:val="single" w:color="auto" w:sz="6"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120</w:t>
            </w:r>
          </w:p>
        </w:tc>
        <w:tc>
          <w:tcPr>
            <w:tcW w:w="614"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96</w:t>
            </w:r>
          </w:p>
        </w:tc>
        <w:tc>
          <w:tcPr>
            <w:tcW w:w="599"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p>
        </w:tc>
        <w:tc>
          <w:tcPr>
            <w:tcW w:w="985" w:type="dxa"/>
            <w:tcBorders>
              <w:top w:val="single" w:color="auto" w:sz="6" w:space="0"/>
              <w:left w:val="single" w:color="auto" w:sz="6" w:space="0"/>
              <w:bottom w:val="single" w:color="auto" w:sz="12" w:space="0"/>
              <w:right w:val="single" w:color="auto" w:sz="12" w:space="0"/>
            </w:tcBorders>
            <w:shd w:val="clear" w:color="auto" w:fill="auto"/>
            <w:tcMar>
              <w:top w:w="0" w:type="dxa"/>
              <w:bottom w:w="0" w:type="dxa"/>
            </w:tcMar>
            <w:vAlign w:val="center"/>
          </w:tcPr>
          <w:p>
            <w:pPr>
              <w:keepNext w:val="0"/>
              <w:keepLines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0"/>
                <w:sz w:val="20"/>
                <w:szCs w:val="20"/>
                <w:lang w:val="en-US" w:eastAsia="zh-CN"/>
              </w:rPr>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rPr>
          <w:rFonts w:hint="eastAsia" w:ascii="仿宋_GB2312" w:hAnsi="仿宋_GB2312" w:eastAsia="仿宋_GB2312" w:cs="仿宋_GB2312"/>
          <w:b/>
          <w:bCs/>
          <w:color w:val="1D1B1C"/>
          <w:sz w:val="32"/>
          <w:szCs w:val="32"/>
        </w:rPr>
      </w:pPr>
      <w:r>
        <w:rPr>
          <w:rFonts w:hint="eastAsia" w:ascii="仿宋_GB2312" w:hAnsi="仿宋_GB2312" w:eastAsia="仿宋_GB2312" w:cs="仿宋_GB2312"/>
          <w:b/>
          <w:bCs/>
          <w:i w:val="0"/>
          <w:iCs w:val="0"/>
          <w:caps w:val="0"/>
          <w:color w:val="1D1B1C"/>
          <w:spacing w:val="0"/>
          <w:sz w:val="32"/>
          <w:szCs w:val="32"/>
          <w:shd w:val="clear" w:fill="FFFFFF"/>
          <w:lang w:eastAsia="zh-CN"/>
        </w:rPr>
        <w:t>六</w:t>
      </w:r>
      <w:r>
        <w:rPr>
          <w:rFonts w:hint="eastAsia" w:ascii="仿宋_GB2312" w:hAnsi="仿宋_GB2312" w:eastAsia="仿宋_GB2312" w:cs="仿宋_GB2312"/>
          <w:b/>
          <w:bCs/>
          <w:i w:val="0"/>
          <w:iCs w:val="0"/>
          <w:caps w:val="0"/>
          <w:color w:val="1D1B1C"/>
          <w:spacing w:val="0"/>
          <w:sz w:val="32"/>
          <w:szCs w:val="32"/>
          <w:shd w:val="clear" w:fill="FFFFFF"/>
        </w:rPr>
        <w:t>、选拔要求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rPr>
          <w:rFonts w:hint="eastAsia" w:ascii="仿宋_GB2312" w:hAnsi="仿宋_GB2312" w:eastAsia="仿宋_GB2312" w:cs="仿宋_GB2312"/>
          <w:b w:val="0"/>
          <w:bCs w:val="0"/>
          <w:i w:val="0"/>
          <w:iCs w:val="0"/>
          <w:caps w:val="0"/>
          <w:color w:val="1D1B1C"/>
          <w:spacing w:val="0"/>
          <w:sz w:val="28"/>
          <w:szCs w:val="28"/>
          <w:shd w:val="clear" w:fill="FFFFFF"/>
          <w:lang w:eastAsia="zh-CN"/>
        </w:rPr>
      </w:pP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欢迎学有余力的各级各专业本校在读学生报名</w:t>
      </w:r>
      <w:r>
        <w:rPr>
          <w:rFonts w:hint="eastAsia" w:ascii="仿宋_GB2312" w:hAnsi="仿宋_GB2312" w:eastAsia="仿宋_GB2312" w:cs="仿宋_GB2312"/>
          <w:b w:val="0"/>
          <w:bCs w:val="0"/>
          <w:i w:val="0"/>
          <w:iCs w:val="0"/>
          <w:caps w:val="0"/>
          <w:color w:val="1D1B1C"/>
          <w:spacing w:val="0"/>
          <w:sz w:val="28"/>
          <w:szCs w:val="28"/>
          <w:shd w:val="clear" w:fill="FFFFFF"/>
          <w:lang w:eastAsia="zh-CN"/>
        </w:rPr>
        <w:t>，</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要求必须能</w:t>
      </w:r>
      <w:r>
        <w:rPr>
          <w:rFonts w:hint="eastAsia" w:ascii="仿宋_GB2312" w:hAnsi="仿宋_GB2312" w:eastAsia="仿宋_GB2312" w:cs="仿宋_GB2312"/>
          <w:b w:val="0"/>
          <w:bCs w:val="0"/>
          <w:i w:val="0"/>
          <w:iCs w:val="0"/>
          <w:caps w:val="0"/>
          <w:color w:val="1D1B1C"/>
          <w:spacing w:val="0"/>
          <w:sz w:val="28"/>
          <w:szCs w:val="28"/>
          <w:shd w:val="clear" w:fill="FFFFFF"/>
          <w:lang w:eastAsia="zh-CN"/>
        </w:rPr>
        <w:t>处理和主专业课程的冲突，</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不能早退、旷课以及不参加考查。</w:t>
      </w:r>
      <w:r>
        <w:rPr>
          <w:rFonts w:hint="eastAsia" w:ascii="仿宋_GB2312" w:hAnsi="仿宋_GB2312" w:eastAsia="仿宋_GB2312" w:cs="仿宋_GB2312"/>
          <w:b w:val="0"/>
          <w:bCs w:val="0"/>
          <w:i w:val="0"/>
          <w:iCs w:val="0"/>
          <w:caps w:val="0"/>
          <w:color w:val="1D1B1C"/>
          <w:spacing w:val="0"/>
          <w:sz w:val="28"/>
          <w:szCs w:val="28"/>
          <w:shd w:val="clear" w:fill="FFFFFF"/>
          <w:lang w:eastAsia="zh-CN"/>
        </w:rPr>
        <w:t>最好对文旅行业和新媒体传播有较强的兴趣，并具备基本的数字化素养，能进行简单的规划、设计、短视频拍摄、电商营销等技能同学优先。</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645" w:leftChars="0" w:right="0" w:rightChars="0"/>
        <w:jc w:val="left"/>
        <w:rPr>
          <w:rFonts w:hint="eastAsia" w:ascii="仿宋_GB2312" w:hAnsi="仿宋_GB2312" w:eastAsia="仿宋_GB2312" w:cs="仿宋_GB2312"/>
          <w:b/>
          <w:bCs/>
          <w:i w:val="0"/>
          <w:iCs w:val="0"/>
          <w:caps w:val="0"/>
          <w:color w:val="1D1B1C"/>
          <w:spacing w:val="0"/>
          <w:sz w:val="32"/>
          <w:szCs w:val="32"/>
          <w:shd w:val="clear" w:fill="FFFFFF"/>
          <w:lang w:eastAsia="zh-CN"/>
        </w:rPr>
      </w:pPr>
      <w:r>
        <w:rPr>
          <w:rFonts w:hint="eastAsia" w:ascii="仿宋_GB2312" w:hAnsi="仿宋_GB2312" w:eastAsia="仿宋_GB2312" w:cs="仿宋_GB2312"/>
          <w:b/>
          <w:bCs/>
          <w:i w:val="0"/>
          <w:iCs w:val="0"/>
          <w:caps w:val="0"/>
          <w:color w:val="1D1B1C"/>
          <w:spacing w:val="0"/>
          <w:sz w:val="32"/>
          <w:szCs w:val="32"/>
          <w:shd w:val="clear" w:fill="FFFFFF"/>
          <w:lang w:eastAsia="zh-CN"/>
        </w:rPr>
        <w:t>七、咨询及报名方式</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645" w:leftChars="0" w:right="0" w:rightChars="0"/>
        <w:jc w:val="left"/>
        <w:rPr>
          <w:rFonts w:hint="eastAsia" w:ascii="仿宋_GB2312" w:hAnsi="仿宋_GB2312" w:eastAsia="仿宋_GB2312" w:cs="仿宋_GB2312"/>
          <w:b w:val="0"/>
          <w:bCs w:val="0"/>
          <w:i w:val="0"/>
          <w:iCs w:val="0"/>
          <w:caps w:val="0"/>
          <w:color w:val="1D1B1C"/>
          <w:spacing w:val="0"/>
          <w:sz w:val="28"/>
          <w:szCs w:val="28"/>
          <w:shd w:val="clear" w:fill="FFFFFF"/>
          <w:lang w:val="en-US" w:eastAsia="zh-CN"/>
        </w:rPr>
      </w:pP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咨询地址：同文7-312</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645" w:leftChars="0" w:right="0" w:rightChars="0"/>
        <w:jc w:val="left"/>
        <w:rPr>
          <w:rFonts w:hint="default" w:ascii="仿宋_GB2312" w:hAnsi="仿宋_GB2312" w:eastAsia="仿宋_GB2312" w:cs="仿宋_GB2312"/>
          <w:b w:val="0"/>
          <w:bCs w:val="0"/>
          <w:i w:val="0"/>
          <w:iCs w:val="0"/>
          <w:caps w:val="0"/>
          <w:color w:val="1D1B1C"/>
          <w:spacing w:val="0"/>
          <w:sz w:val="28"/>
          <w:szCs w:val="28"/>
          <w:shd w:val="clear" w:fill="FFFFFF"/>
          <w:lang w:val="en-US" w:eastAsia="zh-CN"/>
        </w:rPr>
      </w:pP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咨询QQ群：681066934</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645" w:leftChars="0" w:right="0" w:rightChars="0"/>
        <w:jc w:val="left"/>
        <w:rPr>
          <w:rFonts w:hint="default" w:ascii="仿宋_GB2312" w:hAnsi="仿宋_GB2312" w:eastAsia="仿宋_GB2312" w:cs="仿宋_GB2312"/>
          <w:b w:val="0"/>
          <w:bCs w:val="0"/>
          <w:i w:val="0"/>
          <w:iCs w:val="0"/>
          <w:caps w:val="0"/>
          <w:color w:val="1D1B1C"/>
          <w:spacing w:val="0"/>
          <w:sz w:val="28"/>
          <w:szCs w:val="28"/>
          <w:shd w:val="clear" w:fill="FFFFFF"/>
          <w:lang w:val="en-US" w:eastAsia="zh-CN"/>
        </w:rPr>
      </w:pPr>
    </w:p>
    <w:p>
      <w:pPr>
        <w:rPr>
          <w:rFonts w:hint="eastAsia" w:ascii="仿宋_GB2312" w:hAnsi="仿宋_GB2312" w:eastAsia="仿宋_GB2312" w:cs="仿宋_GB231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257BC1"/>
    <w:multiLevelType w:val="singleLevel"/>
    <w:tmpl w:val="97257BC1"/>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1MjkxZTIwODFmZTc5MzlhZjc5ZDZlNjkxMzcxNTAifQ=="/>
  </w:docVars>
  <w:rsids>
    <w:rsidRoot w:val="16430725"/>
    <w:rsid w:val="02624152"/>
    <w:rsid w:val="08674306"/>
    <w:rsid w:val="08D200D0"/>
    <w:rsid w:val="0A381E47"/>
    <w:rsid w:val="0CB72F7A"/>
    <w:rsid w:val="0EED5389"/>
    <w:rsid w:val="16430725"/>
    <w:rsid w:val="19592DE2"/>
    <w:rsid w:val="234E00AF"/>
    <w:rsid w:val="27F356C9"/>
    <w:rsid w:val="28BC7E18"/>
    <w:rsid w:val="2AA44A58"/>
    <w:rsid w:val="2D742E08"/>
    <w:rsid w:val="38D62358"/>
    <w:rsid w:val="41C45CB4"/>
    <w:rsid w:val="46394E95"/>
    <w:rsid w:val="49A34401"/>
    <w:rsid w:val="4F2C1AA8"/>
    <w:rsid w:val="503F1C51"/>
    <w:rsid w:val="535B7AFB"/>
    <w:rsid w:val="5B2D6220"/>
    <w:rsid w:val="606A1777"/>
    <w:rsid w:val="63D27965"/>
    <w:rsid w:val="68F260D2"/>
    <w:rsid w:val="6B0B19AE"/>
    <w:rsid w:val="6BC12241"/>
    <w:rsid w:val="6DEA7FA1"/>
    <w:rsid w:val="6EDA1822"/>
    <w:rsid w:val="71296F3C"/>
    <w:rsid w:val="733C73E5"/>
    <w:rsid w:val="76EE28B0"/>
    <w:rsid w:val="7B867D63"/>
    <w:rsid w:val="7F5A7BB0"/>
    <w:rsid w:val="7F844D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customStyle="1" w:styleId="3">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24"/>
      <w:szCs w:val="20"/>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980</Words>
  <Characters>1033</Characters>
  <Lines>0</Lines>
  <Paragraphs>0</Paragraphs>
  <TotalTime>0</TotalTime>
  <ScaleCrop>false</ScaleCrop>
  <LinksUpToDate>false</LinksUpToDate>
  <CharactersWithSpaces>1039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2023-07-04T08:09:00Z</dcterms:created>
  <dc:creator>admin</dc:creator>
  <cp:lastModifiedBy>林开淼</cp:lastModifiedBy>
  <dcterms:modified xsi:type="dcterms:W3CDTF">2023-07-13T12:09:29Z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113F38A618074480AF4A58190944D4A8_13</vt:lpwstr>
  </property>
</Properties>
</file>